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C" w:rsidRDefault="00BA47FC" w:rsidP="00BA47FC">
      <w:pPr>
        <w:tabs>
          <w:tab w:val="center" w:pos="4677"/>
          <w:tab w:val="right" w:pos="9355"/>
        </w:tabs>
      </w:pPr>
    </w:p>
    <w:p w:rsidR="00B875F8" w:rsidRDefault="00B875F8" w:rsidP="00BA47FC">
      <w:pPr>
        <w:tabs>
          <w:tab w:val="center" w:pos="4677"/>
          <w:tab w:val="right" w:pos="9355"/>
        </w:tabs>
      </w:pPr>
    </w:p>
    <w:p w:rsidR="00B875F8" w:rsidRDefault="00B875F8" w:rsidP="00B875F8">
      <w:pPr>
        <w:jc w:val="right"/>
      </w:pPr>
      <w:r>
        <w:t>Приложение</w:t>
      </w:r>
    </w:p>
    <w:p w:rsidR="00B875F8" w:rsidRDefault="00B875F8" w:rsidP="00B875F8">
      <w:pPr>
        <w:jc w:val="right"/>
      </w:pPr>
      <w:r w:rsidRPr="00B875F8">
        <w:t>к постановлению</w:t>
      </w:r>
      <w:r>
        <w:t xml:space="preserve"> администрации </w:t>
      </w:r>
    </w:p>
    <w:p w:rsidR="00B875F8" w:rsidRDefault="00B875F8" w:rsidP="00B875F8">
      <w:pPr>
        <w:jc w:val="right"/>
      </w:pPr>
      <w:r w:rsidRPr="00B875F8">
        <w:t xml:space="preserve">Никольского городского поселения </w:t>
      </w:r>
    </w:p>
    <w:p w:rsidR="00B875F8" w:rsidRPr="00B875F8" w:rsidRDefault="00B875F8" w:rsidP="00B875F8">
      <w:pPr>
        <w:jc w:val="right"/>
      </w:pPr>
      <w:r w:rsidRPr="00B875F8">
        <w:t xml:space="preserve">Тосненского района </w:t>
      </w:r>
    </w:p>
    <w:p w:rsidR="00B875F8" w:rsidRPr="00B875F8" w:rsidRDefault="00B875F8" w:rsidP="00B875F8">
      <w:pPr>
        <w:jc w:val="right"/>
      </w:pPr>
      <w:r w:rsidRPr="00B875F8">
        <w:t xml:space="preserve">Ленинградской области </w:t>
      </w:r>
    </w:p>
    <w:p w:rsidR="00B875F8" w:rsidRPr="00B875F8" w:rsidRDefault="00B875F8" w:rsidP="00B875F8">
      <w:pPr>
        <w:jc w:val="right"/>
      </w:pPr>
      <w:r>
        <w:t>от 13.12.2016  № 355</w:t>
      </w:r>
      <w:r w:rsidRPr="00B875F8">
        <w:t>-па</w:t>
      </w:r>
    </w:p>
    <w:p w:rsidR="00B875F8" w:rsidRPr="00B875F8" w:rsidRDefault="00B875F8" w:rsidP="00B875F8">
      <w:pPr>
        <w:jc w:val="both"/>
      </w:pPr>
    </w:p>
    <w:p w:rsidR="00B875F8" w:rsidRPr="00B875F8" w:rsidRDefault="00B875F8" w:rsidP="00B875F8">
      <w:pPr>
        <w:tabs>
          <w:tab w:val="center" w:pos="4677"/>
          <w:tab w:val="right" w:pos="9355"/>
        </w:tabs>
      </w:pPr>
    </w:p>
    <w:p w:rsidR="00B875F8" w:rsidRPr="00B875F8" w:rsidRDefault="00B875F8" w:rsidP="00B875F8">
      <w:pPr>
        <w:tabs>
          <w:tab w:val="center" w:pos="4677"/>
          <w:tab w:val="right" w:pos="9355"/>
        </w:tabs>
        <w:rPr>
          <w:sz w:val="8"/>
          <w:szCs w:val="8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  <w:r w:rsidRPr="00B875F8">
        <w:rPr>
          <w:b/>
          <w:i/>
          <w:sz w:val="38"/>
          <w:szCs w:val="38"/>
          <w:u w:val="single"/>
        </w:rPr>
        <w:t>МУНИЦИПАЛЬНАЯ  ПРОГРАММА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1"/>
          <w:szCs w:val="31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5"/>
          <w:szCs w:val="35"/>
        </w:rPr>
      </w:pPr>
      <w:r w:rsidRPr="00B875F8">
        <w:rPr>
          <w:sz w:val="35"/>
          <w:szCs w:val="35"/>
        </w:rPr>
        <w:t>«Развитие автомобильных дорог Никольского городского поселения Тосненского района  Ленинградской области»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3"/>
          <w:szCs w:val="23"/>
        </w:rPr>
      </w:pPr>
      <w:r w:rsidRPr="00B875F8">
        <w:rPr>
          <w:sz w:val="23"/>
          <w:szCs w:val="23"/>
        </w:rPr>
        <w:t>г.Никольское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  <w:r w:rsidRPr="00B875F8">
        <w:rPr>
          <w:b/>
          <w:sz w:val="31"/>
          <w:szCs w:val="31"/>
        </w:rPr>
        <w:lastRenderedPageBreak/>
        <w:t>ПАСПОРТ</w:t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  <w:r w:rsidRPr="00B875F8">
        <w:rPr>
          <w:sz w:val="23"/>
          <w:szCs w:val="23"/>
        </w:rPr>
        <w:t>муниципальной  программы  «Развитие автомобильных дорог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8589"/>
      </w:tblGrid>
      <w:tr w:rsidR="00B875F8" w:rsidRPr="00B875F8" w:rsidTr="00DA1F8C">
        <w:trPr>
          <w:trHeight w:val="72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Муниципальная программа </w:t>
            </w:r>
            <w:r w:rsidRPr="00B875F8">
              <w:rPr>
                <w:sz w:val="23"/>
                <w:szCs w:val="23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:rsidR="00B875F8" w:rsidRPr="00B875F8" w:rsidRDefault="00B875F8" w:rsidP="00B875F8">
            <w:pPr>
              <w:jc w:val="both"/>
            </w:pPr>
            <w:r w:rsidRPr="00B875F8">
              <w:rPr>
                <w:bCs/>
                <w:sz w:val="23"/>
                <w:szCs w:val="23"/>
              </w:rPr>
              <w:t>(далее – Программа)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 xml:space="preserve">Основание для разработки 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B875F8" w:rsidRPr="00B875F8" w:rsidRDefault="00B875F8" w:rsidP="00B875F8">
            <w:pPr>
              <w:jc w:val="both"/>
            </w:pPr>
            <w:r w:rsidRPr="00B875F8">
              <w:rPr>
                <w:sz w:val="23"/>
                <w:szCs w:val="23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 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>Основной исполнитель и участники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</w:pPr>
            <w:r w:rsidRPr="00B875F8">
              <w:rPr>
                <w:sz w:val="22"/>
                <w:szCs w:val="22"/>
              </w:rPr>
              <w:t>Основной исполнитель:</w:t>
            </w:r>
          </w:p>
          <w:p w:rsidR="00B875F8" w:rsidRPr="00B875F8" w:rsidRDefault="00B875F8" w:rsidP="00B875F8">
            <w:pPr>
              <w:jc w:val="both"/>
            </w:pPr>
            <w:r w:rsidRPr="00B875F8">
              <w:rPr>
                <w:sz w:val="22"/>
                <w:szCs w:val="22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B875F8" w:rsidRPr="00B875F8" w:rsidRDefault="00B875F8" w:rsidP="00B875F8">
            <w:pPr>
              <w:jc w:val="both"/>
            </w:pP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</w:pPr>
            <w:r w:rsidRPr="00B875F8">
              <w:rPr>
                <w:sz w:val="22"/>
                <w:szCs w:val="22"/>
              </w:rPr>
              <w:t>отсутствуют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</w:pPr>
            <w:r w:rsidRPr="00B875F8">
              <w:rPr>
                <w:sz w:val="23"/>
                <w:szCs w:val="23"/>
              </w:rPr>
              <w:t xml:space="preserve">Комитет по дорожному хозяйству Ленинградской области, </w:t>
            </w:r>
            <w:r w:rsidRPr="00B875F8">
              <w:rPr>
                <w:bCs/>
                <w:sz w:val="23"/>
                <w:szCs w:val="23"/>
              </w:rPr>
              <w:t xml:space="preserve">администрация муниципального образования </w:t>
            </w:r>
            <w:r w:rsidRPr="00B875F8">
              <w:rPr>
                <w:sz w:val="23"/>
                <w:szCs w:val="23"/>
              </w:rPr>
              <w:t>Никольское городское поселение Тосненского района Ленинградской области</w:t>
            </w:r>
            <w:r w:rsidRPr="00B875F8">
              <w:rPr>
                <w:bCs/>
                <w:sz w:val="23"/>
                <w:szCs w:val="23"/>
              </w:rPr>
              <w:t>,</w:t>
            </w:r>
            <w:r w:rsidRPr="00B875F8">
              <w:rPr>
                <w:sz w:val="23"/>
                <w:szCs w:val="23"/>
              </w:rPr>
              <w:t xml:space="preserve"> 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2"/>
                <w:szCs w:val="22"/>
              </w:rPr>
              <w:t>1.«</w:t>
            </w:r>
            <w:r w:rsidRPr="00B875F8">
              <w:rPr>
                <w:sz w:val="23"/>
                <w:szCs w:val="23"/>
              </w:rPr>
              <w:t xml:space="preserve">Поддержание и развитие существующей сетиавтомобильных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:rsidR="00B875F8" w:rsidRPr="00B875F8" w:rsidRDefault="00B875F8" w:rsidP="00B875F8">
            <w:pPr>
              <w:jc w:val="both"/>
            </w:pPr>
            <w:r w:rsidRPr="00B875F8">
              <w:rPr>
                <w:sz w:val="23"/>
                <w:szCs w:val="23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</w:pPr>
            <w:r w:rsidRPr="00B875F8">
              <w:rPr>
                <w:sz w:val="23"/>
                <w:szCs w:val="23"/>
              </w:rPr>
              <w:t>Повышение эффективности и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Улучшение  транспортно-эксплуатационного     состояния  существующей  сети  автомобильных   дорог  общего пользования местного значения;</w:t>
            </w:r>
          </w:p>
          <w:p w:rsidR="00B875F8" w:rsidRPr="00B875F8" w:rsidRDefault="00B875F8" w:rsidP="00B875F8">
            <w:pPr>
              <w:jc w:val="both"/>
            </w:pPr>
            <w:r w:rsidRPr="00B875F8">
              <w:rPr>
                <w:sz w:val="23"/>
                <w:szCs w:val="23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</w:pPr>
            <w:r w:rsidRPr="00B875F8">
              <w:rPr>
                <w:sz w:val="22"/>
                <w:szCs w:val="22"/>
              </w:rPr>
              <w:t>Целевыми индикаторами и показателями являются: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асфальтобетонных покрытий проездов</w:t>
            </w:r>
            <w:r w:rsidRPr="00B875F8">
              <w:rPr>
                <w:sz w:val="23"/>
                <w:szCs w:val="23"/>
              </w:rPr>
              <w:t xml:space="preserve"> к дворовым территориям и дворовых территорий многоквартирных домов</w:t>
            </w:r>
            <w:r w:rsidRPr="00B875F8">
              <w:rPr>
                <w:bCs/>
                <w:sz w:val="23"/>
                <w:szCs w:val="23"/>
              </w:rPr>
              <w:t xml:space="preserve">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2014г.-2489м2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2015г.- 15 511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2016г.- 18 775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2017г.- 21000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lastRenderedPageBreak/>
              <w:t>2018г.-24000м2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2019г.-27000м2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асфальтобетонного покрытия</w:t>
            </w:r>
            <w:r w:rsidRPr="00B875F8">
              <w:rPr>
                <w:sz w:val="23"/>
                <w:szCs w:val="23"/>
              </w:rPr>
              <w:t xml:space="preserve"> автомобильной дороги общего пользования местного значения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2014г.-240 п.м.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2015г.- 2 160 п.м.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2016г. – 2 400 п.м.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2017г- 3 500 п.м.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2018г.- 4 200 п.м.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2019г.-4 500 п.м.</w:t>
            </w:r>
          </w:p>
          <w:p w:rsidR="00B875F8" w:rsidRPr="00B875F8" w:rsidRDefault="00B875F8" w:rsidP="00B875F8">
            <w:pPr>
              <w:jc w:val="both"/>
            </w:pPr>
            <w:r w:rsidRPr="00B875F8">
              <w:rPr>
                <w:sz w:val="22"/>
                <w:szCs w:val="22"/>
              </w:rPr>
              <w:t>-механизированная уборка поселенческих дорог и улиц</w:t>
            </w:r>
          </w:p>
          <w:p w:rsidR="00B875F8" w:rsidRPr="00B875F8" w:rsidRDefault="00B875F8" w:rsidP="00B875F8">
            <w:pPr>
              <w:jc w:val="both"/>
            </w:pPr>
            <w:r w:rsidRPr="00B875F8">
              <w:rPr>
                <w:sz w:val="22"/>
                <w:szCs w:val="22"/>
              </w:rPr>
              <w:t>2014г.-168 000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2015г.- 168 000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2016г.- 168 000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2017г- 217480 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2018г.- 217480м2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- паспортизация автодорог общего пользования местного значения </w:t>
            </w:r>
            <w:r w:rsidRPr="00B875F8">
              <w:rPr>
                <w:sz w:val="23"/>
                <w:szCs w:val="23"/>
              </w:rPr>
              <w:t>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2014г.-9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2015г.- 18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2016г. - 29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2017г.-      -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2018г.-      -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B875F8">
              <w:rPr>
                <w:sz w:val="23"/>
                <w:szCs w:val="23"/>
              </w:rPr>
              <w:t>2019г.-      -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</w:pPr>
            <w:r w:rsidRPr="00B875F8">
              <w:rPr>
                <w:sz w:val="22"/>
                <w:szCs w:val="22"/>
              </w:rPr>
              <w:t>2015-2019г.г.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>Объемы бюджетных ассигнований муниципальной программы-всего, в том числе по годам (тыс.руб.)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3" w:type="dxa"/>
              <w:tblLook w:val="04A0"/>
            </w:tblPr>
            <w:tblGrid>
              <w:gridCol w:w="1396"/>
              <w:gridCol w:w="981"/>
              <w:gridCol w:w="981"/>
              <w:gridCol w:w="981"/>
              <w:gridCol w:w="981"/>
              <w:gridCol w:w="981"/>
              <w:gridCol w:w="981"/>
              <w:gridCol w:w="1071"/>
            </w:tblGrid>
            <w:tr w:rsidR="00B875F8" w:rsidRPr="00B875F8" w:rsidTr="00DA1F8C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2014г.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2015г.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2016г.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2017г.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2018г..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 xml:space="preserve">2019г. 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ИТОГО</w:t>
                  </w:r>
                </w:p>
              </w:tc>
            </w:tr>
            <w:tr w:rsidR="00B875F8" w:rsidRPr="00B875F8" w:rsidTr="00DA1F8C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8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DA1F8C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19399,700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35210,269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31517,133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14372,283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129499,385</w:t>
                  </w:r>
                </w:p>
              </w:tc>
            </w:tr>
            <w:tr w:rsidR="00B875F8" w:rsidRPr="00B875F8" w:rsidTr="00DA1F8C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DA1F8C">
              <w:trPr>
                <w:trHeight w:val="885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Бюджет Ленинградской области*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1424,368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1941,900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750,900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742,412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39859,580</w:t>
                  </w:r>
                </w:p>
              </w:tc>
            </w:tr>
            <w:tr w:rsidR="00B875F8" w:rsidRPr="00B875F8" w:rsidTr="00DA1F8C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DA1F8C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20824,068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37152,169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32268,033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15114,695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169358,965</w:t>
                  </w:r>
                </w:p>
              </w:tc>
            </w:tr>
            <w:tr w:rsidR="00B875F8" w:rsidRPr="00B875F8" w:rsidTr="00DA1F8C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875F8" w:rsidRPr="00B875F8" w:rsidRDefault="00B875F8" w:rsidP="00B875F8">
            <w:pPr>
              <w:jc w:val="both"/>
            </w:pPr>
          </w:p>
          <w:p w:rsidR="00B875F8" w:rsidRPr="00B875F8" w:rsidRDefault="00B875F8" w:rsidP="00B875F8">
            <w:pPr>
              <w:jc w:val="both"/>
            </w:pPr>
            <w:r w:rsidRPr="00B875F8">
              <w:rPr>
                <w:sz w:val="22"/>
                <w:szCs w:val="22"/>
              </w:rPr>
              <w:t>*- при наличии средств в бюджете Ленинградской области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r w:rsidRPr="00B875F8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 xml:space="preserve">Транспортный эффект заключается в экономии затрат на эксплуатацию транспортных средств, уменьшении рисков дорожно-транспортных происшествий, </w:t>
            </w:r>
            <w:r w:rsidRPr="00B875F8">
              <w:rPr>
                <w:rFonts w:cs="Calibri"/>
                <w:sz w:val="23"/>
                <w:szCs w:val="23"/>
              </w:rPr>
              <w:lastRenderedPageBreak/>
              <w:t>ускорении доставки грузов, повышении комфортности движения.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9</w:t>
            </w:r>
            <w:r w:rsidRPr="00B875F8">
              <w:rPr>
                <w:sz w:val="23"/>
                <w:szCs w:val="23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15</w:t>
            </w:r>
            <w:r w:rsidRPr="00B875F8">
              <w:rPr>
                <w:sz w:val="23"/>
                <w:szCs w:val="23"/>
              </w:rPr>
              <w:t xml:space="preserve"> процентов.</w:t>
            </w:r>
          </w:p>
          <w:p w:rsidR="00B875F8" w:rsidRPr="00B875F8" w:rsidRDefault="00B875F8" w:rsidP="00B875F8">
            <w:pPr>
              <w:jc w:val="both"/>
            </w:pPr>
          </w:p>
        </w:tc>
      </w:tr>
    </w:tbl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numPr>
          <w:ilvl w:val="0"/>
          <w:numId w:val="2"/>
        </w:numPr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Оценка и анализ </w:t>
      </w:r>
      <w:r w:rsidRPr="00B875F8">
        <w:rPr>
          <w:rFonts w:cs="Calibri"/>
          <w:b/>
          <w:sz w:val="23"/>
          <w:szCs w:val="23"/>
        </w:rPr>
        <w:t>современного состояния улично-дорожной сети на территории</w:t>
      </w:r>
      <w:r w:rsidRPr="00B875F8">
        <w:rPr>
          <w:b/>
          <w:bCs/>
          <w:sz w:val="23"/>
          <w:szCs w:val="23"/>
        </w:rPr>
        <w:t xml:space="preserve">муниципального образования </w:t>
      </w:r>
      <w:r w:rsidRPr="00B875F8">
        <w:rPr>
          <w:b/>
          <w:sz w:val="23"/>
          <w:szCs w:val="23"/>
        </w:rPr>
        <w:t>Никольское городское поселение Тосненского района Ленинградской области, обоснование необходимости программно-целевой проработки проблемы: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Перед органами местного самоуправления</w:t>
      </w:r>
      <w:r w:rsidRPr="00B875F8">
        <w:rPr>
          <w:bCs/>
          <w:sz w:val="23"/>
          <w:szCs w:val="23"/>
        </w:rPr>
        <w:t xml:space="preserve"> муниципального образования </w:t>
      </w:r>
      <w:r w:rsidRPr="00B875F8">
        <w:rPr>
          <w:sz w:val="23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B875F8" w:rsidRPr="00B875F8" w:rsidRDefault="00B875F8" w:rsidP="00B875F8">
      <w:pPr>
        <w:suppressAutoHyphens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скорость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пропускная способность;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безопасность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долговечность;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стоимость содержания;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экологическая безопасность.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Протяженность дорог общего пользования местного значения составляет 36510,33 м, в том числе, с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Перечень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</w:t>
      </w:r>
      <w:r w:rsidRPr="00B875F8">
        <w:rPr>
          <w:bCs/>
          <w:sz w:val="23"/>
          <w:szCs w:val="23"/>
        </w:rPr>
        <w:t xml:space="preserve">муниципального образования </w:t>
      </w:r>
      <w:r w:rsidRPr="00B875F8">
        <w:rPr>
          <w:sz w:val="23"/>
          <w:szCs w:val="23"/>
        </w:rPr>
        <w:t>Никольское городское поселение Тосненского района Ленинградской приведен в Приложении 1 к настоящей Программе.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r w:rsidRPr="00B875F8">
        <w:rPr>
          <w:rFonts w:cs="Calibri"/>
          <w:sz w:val="23"/>
          <w:szCs w:val="23"/>
        </w:rPr>
        <w:t xml:space="preserve">недоремонтом </w:t>
      </w:r>
      <w:r w:rsidRPr="00B875F8">
        <w:rPr>
          <w:rFonts w:cs="Calibri"/>
          <w:sz w:val="23"/>
          <w:szCs w:val="23"/>
        </w:rPr>
        <w:lastRenderedPageBreak/>
        <w:t>прошлых лет вследствие недостаточного финансирования,</w:t>
      </w:r>
      <w:r w:rsidRPr="00B875F8">
        <w:rPr>
          <w:sz w:val="23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Учитывая дотационный характер местного бюджета, целесообразность решения проблемы программно-целевым методом дляНикольского городского поселениязаключается в планировании деятельности по развитию автомобильных дорог общего пользованияместного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</w:t>
      </w:r>
      <w:r w:rsidRPr="00B875F8">
        <w:rPr>
          <w:b/>
          <w:sz w:val="23"/>
          <w:szCs w:val="23"/>
        </w:rPr>
        <w:t xml:space="preserve">.  Цели программы, основные задачи мероприятия программы: 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Основные цели муниципальной целевой программы: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повышение эффективности и безопасности функционирования улично-дорожной сети на территории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обеспечение жизненно важных социально-экономических интересов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 xml:space="preserve">создание условий для устойчивого развития МО Никольское городское поселение; 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rFonts w:cs="Calibri"/>
          <w:sz w:val="23"/>
          <w:szCs w:val="23"/>
        </w:rPr>
        <w:t>улучшение условий жизни населения на территории</w:t>
      </w:r>
      <w:r w:rsidRPr="00B875F8">
        <w:rPr>
          <w:sz w:val="23"/>
          <w:szCs w:val="23"/>
        </w:rPr>
        <w:t xml:space="preserve"> МО Никольское городское поселение 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Муниципальная целевая программа предусматривает решение следующих задач:</w:t>
      </w:r>
    </w:p>
    <w:p w:rsidR="00B875F8" w:rsidRPr="00B875F8" w:rsidRDefault="00B875F8" w:rsidP="00B875F8">
      <w:pPr>
        <w:numPr>
          <w:ilvl w:val="0"/>
          <w:numId w:val="13"/>
        </w:numPr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:rsidR="00B875F8" w:rsidRPr="00B875F8" w:rsidRDefault="00B875F8" w:rsidP="00B875F8">
      <w:pPr>
        <w:numPr>
          <w:ilvl w:val="0"/>
          <w:numId w:val="14"/>
        </w:numPr>
        <w:ind w:left="1276" w:right="-2" w:hanging="425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B875F8" w:rsidRPr="00B875F8" w:rsidRDefault="00B875F8" w:rsidP="00B875F8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сохранность автомобильных дорог общего пользования местного значения.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Срок реализации программы – 2014-2019 годы.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b/>
          <w:bCs/>
          <w:sz w:val="23"/>
          <w:szCs w:val="23"/>
        </w:rPr>
        <w:t>Перечень мероприятий Программы</w:t>
      </w:r>
      <w:r w:rsidRPr="00B875F8">
        <w:rPr>
          <w:b/>
          <w:sz w:val="23"/>
          <w:szCs w:val="23"/>
        </w:rPr>
        <w:t>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IV</w:t>
      </w:r>
      <w:r w:rsidRPr="00B875F8">
        <w:rPr>
          <w:b/>
          <w:sz w:val="23"/>
          <w:szCs w:val="23"/>
        </w:rPr>
        <w:t>. Обоснование ресурсного обеспечения программы: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софинансирования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:rsidR="00B875F8" w:rsidRPr="00B875F8" w:rsidRDefault="00B875F8" w:rsidP="00B875F8">
      <w:pPr>
        <w:jc w:val="both"/>
        <w:rPr>
          <w:b/>
          <w:sz w:val="18"/>
          <w:szCs w:val="18"/>
        </w:rPr>
      </w:pPr>
      <w:r w:rsidRPr="00B875F8">
        <w:rPr>
          <w:sz w:val="23"/>
          <w:szCs w:val="23"/>
        </w:rPr>
        <w:t xml:space="preserve">Общий объем финансирования программы запланирован в сумме </w:t>
      </w:r>
      <w:r w:rsidRPr="00B875F8">
        <w:rPr>
          <w:b/>
          <w:bCs/>
          <w:color w:val="000000"/>
          <w:sz w:val="18"/>
          <w:szCs w:val="18"/>
        </w:rPr>
        <w:t xml:space="preserve">169358,965 </w:t>
      </w:r>
      <w:r w:rsidRPr="00B875F8">
        <w:rPr>
          <w:sz w:val="22"/>
          <w:szCs w:val="22"/>
        </w:rPr>
        <w:t xml:space="preserve">тыс.рублей, в том числе </w:t>
      </w:r>
      <w:r w:rsidRPr="00B875F8">
        <w:rPr>
          <w:b/>
          <w:sz w:val="18"/>
          <w:szCs w:val="18"/>
        </w:rPr>
        <w:t>39859,580</w:t>
      </w:r>
      <w:r w:rsidRPr="00B875F8">
        <w:rPr>
          <w:sz w:val="22"/>
          <w:szCs w:val="22"/>
        </w:rPr>
        <w:t>тыс. рублей средства областного бюджета.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Администрация Никольского городского поселения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(софинансирование предусмотрено).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br w:type="page"/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lastRenderedPageBreak/>
        <w:t>V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Оценка эффективности Программы: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4,7 процента.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VI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Механизм управления и контроля за реализацией Программы: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Общий контроль за выполнением Программы осуществляет комитет по дорожному хозяйству Ленинградской области. Контроль за выполнением Программы осуществляет администрация</w:t>
      </w:r>
      <w:r w:rsidRPr="00B875F8">
        <w:rPr>
          <w:sz w:val="23"/>
          <w:szCs w:val="23"/>
        </w:rPr>
        <w:t xml:space="preserve"> Никольского городского поселения. </w:t>
      </w:r>
      <w:r w:rsidRPr="00B875F8">
        <w:rPr>
          <w:rFonts w:cs="Calibri"/>
          <w:sz w:val="23"/>
          <w:szCs w:val="23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на финансирование дорожных работ.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Администрация </w:t>
      </w:r>
      <w:bookmarkStart w:id="0" w:name="OLE_LINK1"/>
      <w:bookmarkStart w:id="1" w:name="OLE_LINK2"/>
      <w:r w:rsidRPr="00B875F8">
        <w:rPr>
          <w:sz w:val="23"/>
          <w:szCs w:val="23"/>
        </w:rPr>
        <w:t>Никольского городского поселения</w:t>
      </w:r>
      <w:bookmarkEnd w:id="0"/>
      <w:bookmarkEnd w:id="1"/>
      <w:r w:rsidRPr="00B875F8">
        <w:rPr>
          <w:rFonts w:cs="Calibri"/>
          <w:sz w:val="23"/>
          <w:szCs w:val="23"/>
        </w:rPr>
        <w:t xml:space="preserve">представляет отчеты о ходе выполнения (об итогах выполнения) Программы </w:t>
      </w:r>
      <w:r w:rsidRPr="00B875F8">
        <w:rPr>
          <w:sz w:val="23"/>
          <w:szCs w:val="23"/>
        </w:rPr>
        <w:t>по установленной форме и в установленные сроки (с установленной периодичностью) в</w:t>
      </w:r>
      <w:r w:rsidRPr="00B875F8">
        <w:rPr>
          <w:rFonts w:cs="Calibri"/>
          <w:sz w:val="23"/>
          <w:szCs w:val="23"/>
        </w:rPr>
        <w:t xml:space="preserve"> комитет по дорожному хозяйству Ленинградской области (Правительство Ленинградской области).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  <w:sectPr w:rsidR="00B875F8" w:rsidRPr="00B875F8" w:rsidSect="0097418D">
          <w:headerReference w:type="default" r:id="rId7"/>
          <w:footerReference w:type="even" r:id="rId8"/>
          <w:pgSz w:w="11906" w:h="16838"/>
          <w:pgMar w:top="539" w:right="849" w:bottom="426" w:left="1701" w:header="709" w:footer="709" w:gutter="0"/>
          <w:cols w:space="720"/>
        </w:sect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lastRenderedPageBreak/>
        <w:t>Приложение 1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sz w:val="23"/>
          <w:szCs w:val="23"/>
        </w:rPr>
        <w:t xml:space="preserve"> 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ПЕРЕЧЕНЬ</w:t>
      </w:r>
      <w:r w:rsidRPr="00B875F8">
        <w:rPr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tbl>
      <w:tblPr>
        <w:tblW w:w="9346" w:type="dxa"/>
        <w:tblInd w:w="108" w:type="dxa"/>
        <w:tblLook w:val="04A0"/>
      </w:tblPr>
      <w:tblGrid>
        <w:gridCol w:w="640"/>
        <w:gridCol w:w="1130"/>
        <w:gridCol w:w="1480"/>
        <w:gridCol w:w="2420"/>
        <w:gridCol w:w="929"/>
        <w:gridCol w:w="711"/>
        <w:gridCol w:w="1054"/>
        <w:gridCol w:w="1054"/>
      </w:tblGrid>
      <w:tr w:rsidR="00B875F8" w:rsidRPr="00B875F8" w:rsidTr="00DA1F8C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Адрес 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Протяженность,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покрытие, м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местонахождения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гравий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ул.Октябрьская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ул.Школьная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ул.Театральная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ул.Спортивная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ул.Лесная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ул.Комсомольская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ул.Пионерская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ул.Заводская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ул.Первомайская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ул.Западная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ул.Дачная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ул.Зеленая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960,0833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ул.Садовая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ул.Парковая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ул.Вишневая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ул.Песчаная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ул.Заречная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ул.Пролетарская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Советский  проспект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Хвойный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ул.Полевая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ул.Мирная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ул.Речная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Ручейный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ул.Совхозная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дорога к кладбищу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мкр."Перевоз"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подъезд к гаражному кооп."Пионер" от ул.Спортивной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ул.Дачная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ул.Инженерная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ул.Ручейная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ул.Центральная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п.Гладкое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ул.Школьная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ул.Луговая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ул.Березовая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ул.Южная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г.Никольское,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мкр."Сибцентр"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ул.Согласия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4681,083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</w:t>
            </w:r>
          </w:p>
        </w:tc>
      </w:tr>
      <w:tr w:rsidR="00B875F8" w:rsidRPr="00B875F8" w:rsidTr="00DA1F8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36510,33</w:t>
            </w:r>
          </w:p>
        </w:tc>
      </w:tr>
    </w:tbl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Приложение №2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sz w:val="22"/>
          <w:szCs w:val="22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</w:p>
    <w:p w:rsidR="00B875F8" w:rsidRPr="00B875F8" w:rsidRDefault="00B875F8" w:rsidP="00B875F8">
      <w:pPr>
        <w:jc w:val="center"/>
        <w:rPr>
          <w:b/>
          <w:sz w:val="22"/>
          <w:szCs w:val="22"/>
        </w:rPr>
      </w:pPr>
      <w:r w:rsidRPr="00B875F8">
        <w:rPr>
          <w:b/>
          <w:sz w:val="22"/>
          <w:szCs w:val="22"/>
        </w:rPr>
        <w:t>«Поддержание и развитие существующей</w:t>
      </w:r>
    </w:p>
    <w:tbl>
      <w:tblPr>
        <w:tblpPr w:leftFromText="180" w:rightFromText="180" w:vertAnchor="text" w:horzAnchor="margin" w:tblpXSpec="center" w:tblpY="452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2491"/>
        <w:gridCol w:w="1123"/>
        <w:gridCol w:w="1123"/>
        <w:gridCol w:w="1123"/>
        <w:gridCol w:w="1123"/>
        <w:gridCol w:w="1123"/>
        <w:gridCol w:w="1123"/>
        <w:gridCol w:w="1166"/>
      </w:tblGrid>
      <w:tr w:rsidR="00B875F8" w:rsidRPr="00B875F8" w:rsidTr="00DA1F8C">
        <w:trPr>
          <w:trHeight w:val="825"/>
        </w:trPr>
        <w:tc>
          <w:tcPr>
            <w:tcW w:w="33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904" w:type="dxa"/>
            <w:gridSpan w:val="7"/>
            <w:shd w:val="clear" w:color="auto" w:fill="auto"/>
          </w:tcPr>
          <w:p w:rsidR="00B875F8" w:rsidRPr="00B875F8" w:rsidRDefault="00B875F8" w:rsidP="00B875F8">
            <w:pPr>
              <w:ind w:right="682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Объем финансирования тыс.руб</w:t>
            </w:r>
          </w:p>
        </w:tc>
      </w:tr>
      <w:tr w:rsidR="00B875F8" w:rsidRPr="00B875F8" w:rsidTr="00DA1F8C">
        <w:trPr>
          <w:trHeight w:val="315"/>
        </w:trPr>
        <w:tc>
          <w:tcPr>
            <w:tcW w:w="33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jc w:val="center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DA1F8C">
        <w:trPr>
          <w:trHeight w:val="225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Ремонт улично-дорожной сети, ямочный ремонт асфальтобетонного покрытия улиц и внутридворовой территории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10599,700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27890,344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21023,040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6515,303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80028,387</w:t>
            </w:r>
          </w:p>
        </w:tc>
      </w:tr>
      <w:tr w:rsidR="00B875F8" w:rsidRPr="00B875F8" w:rsidTr="00DA1F8C">
        <w:trPr>
          <w:trHeight w:val="141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Проектно-контрольные мероприятия по дорогам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500,000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3100,000</w:t>
            </w:r>
          </w:p>
        </w:tc>
      </w:tr>
      <w:tr w:rsidR="00B875F8" w:rsidRPr="00B875F8" w:rsidTr="00DA1F8C">
        <w:trPr>
          <w:trHeight w:val="402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Механизированная уборка внутрипоселенческих дорог и улиц (в том числе, уборка снега с городских дорог и дворовых проездов, вывоз снега, очистка и грейдерование спецтехникой муниципальных дорог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8200,000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8596,000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49381,600</w:t>
            </w:r>
          </w:p>
        </w:tc>
      </w:tr>
      <w:tr w:rsidR="00B875F8" w:rsidRPr="00B875F8" w:rsidTr="00DA1F8C">
        <w:trPr>
          <w:trHeight w:val="84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18199,700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36590,344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30619,040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14515,303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132509,987</w:t>
            </w:r>
          </w:p>
        </w:tc>
      </w:tr>
    </w:tbl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2"/>
          <w:szCs w:val="22"/>
        </w:rPr>
        <w:t xml:space="preserve">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Приложение №3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 </w:t>
      </w:r>
      <w:r w:rsidRPr="00B875F8">
        <w:rPr>
          <w:b/>
          <w:sz w:val="23"/>
          <w:szCs w:val="23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1835"/>
        <w:gridCol w:w="1301"/>
        <w:gridCol w:w="969"/>
        <w:gridCol w:w="1085"/>
        <w:gridCol w:w="965"/>
        <w:gridCol w:w="965"/>
        <w:gridCol w:w="971"/>
        <w:gridCol w:w="1079"/>
      </w:tblGrid>
      <w:tr w:rsidR="00B875F8" w:rsidRPr="00B875F8" w:rsidTr="00DA1F8C">
        <w:trPr>
          <w:trHeight w:val="825"/>
        </w:trPr>
        <w:tc>
          <w:tcPr>
            <w:tcW w:w="7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000" w:type="dxa"/>
            <w:gridSpan w:val="7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Объем финансирования тыс.руб</w:t>
            </w:r>
          </w:p>
        </w:tc>
      </w:tr>
      <w:tr w:rsidR="00B875F8" w:rsidRPr="00B875F8" w:rsidTr="00DA1F8C">
        <w:trPr>
          <w:trHeight w:val="315"/>
        </w:trPr>
        <w:tc>
          <w:tcPr>
            <w:tcW w:w="7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24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0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DA1F8C">
        <w:trPr>
          <w:trHeight w:val="1365"/>
        </w:trPr>
        <w:tc>
          <w:tcPr>
            <w:tcW w:w="7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Реализация мероприятий по организации дорожного движения*</w:t>
            </w:r>
          </w:p>
        </w:tc>
        <w:tc>
          <w:tcPr>
            <w:tcW w:w="750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45,000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1016,994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481,392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1543,385</w:t>
            </w:r>
          </w:p>
        </w:tc>
      </w:tr>
      <w:tr w:rsidR="00B875F8" w:rsidRPr="00B875F8" w:rsidTr="00DA1F8C">
        <w:trPr>
          <w:trHeight w:val="264"/>
        </w:trPr>
        <w:tc>
          <w:tcPr>
            <w:tcW w:w="7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DA1F8C">
        <w:trPr>
          <w:trHeight w:val="1065"/>
        </w:trPr>
        <w:tc>
          <w:tcPr>
            <w:tcW w:w="7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96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Приобретение и установка дорожных знаков</w:t>
            </w:r>
          </w:p>
        </w:tc>
        <w:tc>
          <w:tcPr>
            <w:tcW w:w="75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112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24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1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0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1000,000</w:t>
            </w:r>
          </w:p>
        </w:tc>
      </w:tr>
      <w:tr w:rsidR="00B875F8" w:rsidRPr="00B875F8" w:rsidTr="00DA1F8C">
        <w:trPr>
          <w:trHeight w:val="540"/>
        </w:trPr>
        <w:tc>
          <w:tcPr>
            <w:tcW w:w="7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Паспортизация дорог</w:t>
            </w:r>
          </w:p>
        </w:tc>
        <w:tc>
          <w:tcPr>
            <w:tcW w:w="750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700,000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516,825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1716,825</w:t>
            </w:r>
          </w:p>
        </w:tc>
      </w:tr>
      <w:tr w:rsidR="00B875F8" w:rsidRPr="00B875F8" w:rsidTr="00DA1F8C">
        <w:trPr>
          <w:trHeight w:val="315"/>
        </w:trPr>
        <w:tc>
          <w:tcPr>
            <w:tcW w:w="7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DA1F8C">
        <w:trPr>
          <w:trHeight w:val="960"/>
        </w:trPr>
        <w:tc>
          <w:tcPr>
            <w:tcW w:w="7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96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Проектно-контрольные мероприятия</w:t>
            </w:r>
          </w:p>
        </w:tc>
        <w:tc>
          <w:tcPr>
            <w:tcW w:w="75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2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24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32,000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18,000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1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0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120,000</w:t>
            </w:r>
          </w:p>
        </w:tc>
      </w:tr>
      <w:tr w:rsidR="00B875F8" w:rsidRPr="00B875F8" w:rsidTr="00DA1F8C">
        <w:trPr>
          <w:trHeight w:val="780"/>
        </w:trPr>
        <w:tc>
          <w:tcPr>
            <w:tcW w:w="7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6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75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1200,000</w:t>
            </w:r>
          </w:p>
        </w:tc>
        <w:tc>
          <w:tcPr>
            <w:tcW w:w="112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561,825</w:t>
            </w:r>
          </w:p>
        </w:tc>
        <w:tc>
          <w:tcPr>
            <w:tcW w:w="124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1648,993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599,392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1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0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4380,210</w:t>
            </w:r>
          </w:p>
        </w:tc>
      </w:tr>
    </w:tbl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  <w:r w:rsidRPr="00B875F8">
        <w:rPr>
          <w:sz w:val="23"/>
          <w:szCs w:val="23"/>
        </w:rPr>
        <w:t>*- при наличии финансовых средств в бюджете Никольского городского поселения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Приложение 4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 к программе.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B875F8">
        <w:rPr>
          <w:b/>
          <w:bCs/>
          <w:sz w:val="23"/>
          <w:szCs w:val="23"/>
        </w:rPr>
        <w:t>П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  <w:r w:rsidRPr="00B875F8">
        <w:rPr>
          <w:b/>
          <w:sz w:val="22"/>
          <w:szCs w:val="22"/>
        </w:rPr>
        <w:t xml:space="preserve">«Поддержание и развитие существующей 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на 2017г.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tbl>
      <w:tblPr>
        <w:tblW w:w="9735" w:type="dxa"/>
        <w:tblInd w:w="93" w:type="dxa"/>
        <w:tblLook w:val="0000"/>
      </w:tblPr>
      <w:tblGrid>
        <w:gridCol w:w="960"/>
        <w:gridCol w:w="5535"/>
        <w:gridCol w:w="1620"/>
        <w:gridCol w:w="1620"/>
      </w:tblGrid>
      <w:tr w:rsidR="00B875F8" w:rsidRPr="00B875F8" w:rsidTr="00DA1F8C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№№ п/п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Лимит средств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В том числе из областного бюджета</w:t>
            </w:r>
          </w:p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(руб.)</w:t>
            </w:r>
          </w:p>
        </w:tc>
      </w:tr>
      <w:tr w:rsidR="00B875F8" w:rsidRPr="00B875F8" w:rsidTr="00DA1F8C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автодороги по адресу: г.Никольское, Советский проспект (от дома №63 до дома №53)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742,412</w:t>
            </w:r>
          </w:p>
        </w:tc>
      </w:tr>
      <w:tr w:rsidR="00B875F8" w:rsidRPr="00B875F8" w:rsidTr="00DA1F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ул. Комсомольская, д. 10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2545,778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DA1F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Советский пр., д. 241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3127,113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DA1F8C">
        <w:trPr>
          <w:trHeight w:val="4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75F8" w:rsidRPr="00B875F8" w:rsidRDefault="00B875F8" w:rsidP="00B875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5772,891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742,412</w:t>
            </w:r>
          </w:p>
        </w:tc>
      </w:tr>
    </w:tbl>
    <w:p w:rsidR="00B875F8" w:rsidRPr="00B875F8" w:rsidRDefault="00B875F8" w:rsidP="00B875F8"/>
    <w:p w:rsidR="00B875F8" w:rsidRDefault="00B875F8" w:rsidP="00BA47FC">
      <w:pPr>
        <w:tabs>
          <w:tab w:val="center" w:pos="4677"/>
          <w:tab w:val="right" w:pos="9355"/>
        </w:tabs>
      </w:pPr>
    </w:p>
    <w:sectPr w:rsidR="00B875F8" w:rsidSect="00B875F8">
      <w:pgSz w:w="11906" w:h="16838"/>
      <w:pgMar w:top="539" w:right="849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F9" w:rsidRDefault="000318F9">
      <w:r>
        <w:separator/>
      </w:r>
    </w:p>
  </w:endnote>
  <w:endnote w:type="continuationSeparator" w:id="1">
    <w:p w:rsidR="000318F9" w:rsidRDefault="0003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F8" w:rsidRDefault="00571DF1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75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75F8" w:rsidRDefault="00B875F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F9" w:rsidRDefault="000318F9">
      <w:r>
        <w:separator/>
      </w:r>
    </w:p>
  </w:footnote>
  <w:footnote w:type="continuationSeparator" w:id="1">
    <w:p w:rsidR="000318F9" w:rsidRDefault="00031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F8" w:rsidRDefault="00B875F8">
    <w:pPr>
      <w:pStyle w:val="a6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34"/>
    <w:rsid w:val="000318F9"/>
    <w:rsid w:val="001311F9"/>
    <w:rsid w:val="001D2336"/>
    <w:rsid w:val="004D27A2"/>
    <w:rsid w:val="00571DF1"/>
    <w:rsid w:val="0064303A"/>
    <w:rsid w:val="009258BF"/>
    <w:rsid w:val="00AA4C2E"/>
    <w:rsid w:val="00B21A04"/>
    <w:rsid w:val="00B875F8"/>
    <w:rsid w:val="00BA47FC"/>
    <w:rsid w:val="00BB334B"/>
    <w:rsid w:val="00C97C34"/>
    <w:rsid w:val="00E179F8"/>
    <w:rsid w:val="00EE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303A"/>
    <w:rPr>
      <w:color w:val="0000FF"/>
      <w:u w:val="single"/>
    </w:rPr>
  </w:style>
  <w:style w:type="character" w:customStyle="1" w:styleId="3">
    <w:name w:val="Заголовок 3 Знак Знак"/>
    <w:rsid w:val="0064303A"/>
    <w:rPr>
      <w:rFonts w:ascii="Century Gothic" w:hAnsi="Century Gothic" w:cs="Century Gothic" w:hint="default"/>
      <w:b/>
      <w:bCs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rsid w:val="00BA47FC"/>
  </w:style>
  <w:style w:type="character" w:styleId="a4">
    <w:name w:val="FollowedHyperlink"/>
    <w:uiPriority w:val="99"/>
    <w:rsid w:val="00BA47FC"/>
    <w:rPr>
      <w:color w:val="800080"/>
      <w:u w:val="single"/>
    </w:r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BA47FC"/>
    <w:rPr>
      <w:sz w:val="24"/>
      <w:szCs w:val="24"/>
      <w:lang w:eastAsia="ru-RU"/>
    </w:rPr>
  </w:style>
  <w:style w:type="paragraph" w:styleId="a6">
    <w:name w:val="header"/>
    <w:aliases w:val="Знак"/>
    <w:basedOn w:val="a"/>
    <w:link w:val="a5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BA47FC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BA47FC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BA47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A4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A47F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BA47FC"/>
  </w:style>
  <w:style w:type="paragraph" w:styleId="ac">
    <w:name w:val="Normal (Web)"/>
    <w:basedOn w:val="a"/>
    <w:uiPriority w:val="99"/>
    <w:unhideWhenUsed/>
    <w:rsid w:val="00BA47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A47FC"/>
    <w:rPr>
      <w:b/>
      <w:bCs/>
    </w:rPr>
  </w:style>
  <w:style w:type="table" w:styleId="ae">
    <w:name w:val="Table Grid"/>
    <w:basedOn w:val="a1"/>
    <w:rsid w:val="00B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rsid w:val="00B875F8"/>
  </w:style>
  <w:style w:type="table" w:customStyle="1" w:styleId="13">
    <w:name w:val="Сетка таблицы1"/>
    <w:basedOn w:val="a1"/>
    <w:next w:val="ae"/>
    <w:rsid w:val="00B8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Знак Char"/>
    <w:locked/>
    <w:rsid w:val="00B875F8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303A"/>
    <w:rPr>
      <w:color w:val="0000FF"/>
      <w:u w:val="single"/>
    </w:rPr>
  </w:style>
  <w:style w:type="character" w:customStyle="1" w:styleId="3">
    <w:name w:val="Заголовок 3 Знак Знак"/>
    <w:rsid w:val="0064303A"/>
    <w:rPr>
      <w:rFonts w:ascii="Century Gothic" w:hAnsi="Century Gothic" w:cs="Century Gothic" w:hint="default"/>
      <w:b/>
      <w:bCs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rsid w:val="00BA47FC"/>
  </w:style>
  <w:style w:type="character" w:styleId="a4">
    <w:name w:val="FollowedHyperlink"/>
    <w:uiPriority w:val="99"/>
    <w:rsid w:val="00BA47FC"/>
    <w:rPr>
      <w:color w:val="800080"/>
      <w:u w:val="single"/>
    </w:r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BA47FC"/>
    <w:rPr>
      <w:sz w:val="24"/>
      <w:szCs w:val="24"/>
      <w:lang w:eastAsia="ru-RU"/>
    </w:rPr>
  </w:style>
  <w:style w:type="paragraph" w:styleId="a6">
    <w:name w:val="header"/>
    <w:aliases w:val="Знак"/>
    <w:basedOn w:val="a"/>
    <w:link w:val="a5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BA47FC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BA47FC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BA47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A4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A47F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BA47FC"/>
  </w:style>
  <w:style w:type="paragraph" w:styleId="ac">
    <w:name w:val="Normal (Web)"/>
    <w:basedOn w:val="a"/>
    <w:uiPriority w:val="99"/>
    <w:unhideWhenUsed/>
    <w:rsid w:val="00BA47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A47FC"/>
    <w:rPr>
      <w:b/>
      <w:bCs/>
    </w:rPr>
  </w:style>
  <w:style w:type="table" w:styleId="ae">
    <w:name w:val="Table Grid"/>
    <w:basedOn w:val="a1"/>
    <w:rsid w:val="00B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rsid w:val="00B875F8"/>
  </w:style>
  <w:style w:type="table" w:customStyle="1" w:styleId="13">
    <w:name w:val="Сетка таблицы1"/>
    <w:basedOn w:val="a1"/>
    <w:next w:val="ae"/>
    <w:rsid w:val="00B8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Знак Char"/>
    <w:locked/>
    <w:rsid w:val="00B875F8"/>
    <w:rPr>
      <w:sz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3073</Words>
  <Characters>17520</Characters>
  <Application>Microsoft Office Word</Application>
  <DocSecurity>0</DocSecurity>
  <Lines>146</Lines>
  <Paragraphs>41</Paragraphs>
  <ScaleCrop>false</ScaleCrop>
  <Company>Microsoft</Company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2016-12-22T14:23:00Z</dcterms:created>
  <dcterms:modified xsi:type="dcterms:W3CDTF">2016-12-22T14:23:00Z</dcterms:modified>
</cp:coreProperties>
</file>