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3E3E78" w:rsidRDefault="003E3E78" w:rsidP="003E3E7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3E3E78" w:rsidRDefault="003E3E78" w:rsidP="003E3E7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3E3E78" w:rsidRDefault="003E3E78" w:rsidP="003E3E78">
      <w:pPr>
        <w:ind w:left="-1080"/>
        <w:jc w:val="center"/>
        <w:rPr>
          <w:sz w:val="28"/>
          <w:szCs w:val="28"/>
        </w:rPr>
      </w:pPr>
    </w:p>
    <w:p w:rsidR="003E3E78" w:rsidRDefault="003E3E78" w:rsidP="003E3E7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3E78" w:rsidRDefault="003E3E78" w:rsidP="003E3E78">
      <w:pPr>
        <w:ind w:left="-1080"/>
        <w:jc w:val="center"/>
        <w:rPr>
          <w:b/>
          <w:sz w:val="28"/>
          <w:szCs w:val="28"/>
        </w:rPr>
      </w:pPr>
    </w:p>
    <w:p w:rsidR="003E3E78" w:rsidRDefault="003E3E78" w:rsidP="003E3E78">
      <w:pPr>
        <w:ind w:left="-1080"/>
        <w:jc w:val="center"/>
      </w:pPr>
    </w:p>
    <w:p w:rsidR="003E3E78" w:rsidRDefault="003E3E78" w:rsidP="003E3E78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E3E78" w:rsidRDefault="003E3E78" w:rsidP="003E3E78">
      <w:pPr>
        <w:rPr>
          <w:sz w:val="28"/>
          <w:szCs w:val="28"/>
        </w:rPr>
      </w:pPr>
    </w:p>
    <w:p w:rsidR="003E3E78" w:rsidRDefault="003E3E78" w:rsidP="003E3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03.10.2016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277/8</w:t>
      </w:r>
      <w:r>
        <w:rPr>
          <w:sz w:val="28"/>
          <w:szCs w:val="28"/>
          <w:u w:val="single"/>
        </w:rPr>
        <w:t>- па</w:t>
      </w:r>
    </w:p>
    <w:p w:rsidR="003E3E78" w:rsidRDefault="003E3E78" w:rsidP="003E3E78"/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bookmarkStart w:id="0" w:name="_GoBack"/>
      <w:bookmarkEnd w:id="0"/>
    </w:p>
    <w:p w:rsidR="003D0055" w:rsidRDefault="00FE402A" w:rsidP="00E862F5">
      <w:pPr>
        <w:tabs>
          <w:tab w:val="left" w:pos="6663"/>
          <w:tab w:val="left" w:pos="6946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FE608E">
        <w:rPr>
          <w:sz w:val="28"/>
          <w:szCs w:val="28"/>
        </w:rPr>
        <w:t xml:space="preserve">есении изменений </w:t>
      </w:r>
      <w:r w:rsidR="00E862F5">
        <w:rPr>
          <w:sz w:val="28"/>
          <w:szCs w:val="28"/>
        </w:rPr>
        <w:t>в постановление от 11.11.2015 №</w:t>
      </w:r>
      <w:r w:rsidR="00FE608E">
        <w:rPr>
          <w:sz w:val="28"/>
          <w:szCs w:val="28"/>
        </w:rPr>
        <w:t>421-па «</w:t>
      </w:r>
      <w:r w:rsidR="003D0055"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области»</w:t>
      </w:r>
    </w:p>
    <w:p w:rsidR="003D0055" w:rsidRDefault="003D0055" w:rsidP="003D00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0055" w:rsidRDefault="003D0055" w:rsidP="003D00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3D0055" w:rsidRDefault="003D0055" w:rsidP="003D00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0055" w:rsidRPr="00FE608E" w:rsidRDefault="003D0055" w:rsidP="003D0055">
      <w:pPr>
        <w:rPr>
          <w:rStyle w:val="3"/>
          <w:rFonts w:ascii="Times New Roman" w:hAnsi="Times New Roman"/>
          <w:b w:val="0"/>
          <w:bCs/>
          <w:sz w:val="28"/>
          <w:szCs w:val="28"/>
        </w:rPr>
      </w:pPr>
      <w:r w:rsidRPr="00FE608E">
        <w:rPr>
          <w:rStyle w:val="3"/>
          <w:rFonts w:ascii="Times New Roman" w:hAnsi="Times New Roman"/>
          <w:b w:val="0"/>
          <w:bCs/>
          <w:sz w:val="28"/>
          <w:szCs w:val="28"/>
        </w:rPr>
        <w:t>ПОСТАНОВЛЯЮ:</w:t>
      </w:r>
    </w:p>
    <w:p w:rsidR="003D0055" w:rsidRDefault="003D0055" w:rsidP="003D0055">
      <w:pPr>
        <w:jc w:val="center"/>
        <w:rPr>
          <w:rStyle w:val="3"/>
          <w:rFonts w:cs="Century Gothic"/>
          <w:bCs/>
          <w:sz w:val="16"/>
          <w:szCs w:val="16"/>
        </w:rPr>
      </w:pPr>
    </w:p>
    <w:p w:rsidR="003D0055" w:rsidRDefault="003D0055" w:rsidP="003D0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6AA">
        <w:rPr>
          <w:sz w:val="28"/>
          <w:szCs w:val="28"/>
        </w:rPr>
        <w:t xml:space="preserve"> </w:t>
      </w:r>
      <w:r w:rsidR="00F926AA" w:rsidRPr="00C84E71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</w:t>
      </w:r>
      <w:r w:rsidR="00F926AA">
        <w:rPr>
          <w:sz w:val="28"/>
          <w:szCs w:val="28"/>
        </w:rPr>
        <w:t>ской области от 11.11.2016 № 421-па «Об утверждении муниципальной программы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«Устойчивое развитие части  территорий Никольского городского поселения Тосненского района Ленинградской области»</w:t>
      </w:r>
      <w:r w:rsidR="00F926AA">
        <w:rPr>
          <w:sz w:val="28"/>
          <w:szCs w:val="28"/>
        </w:rPr>
        <w:t xml:space="preserve">, изложив приложение к постановлению в новой редакции </w:t>
      </w:r>
      <w:r>
        <w:rPr>
          <w:sz w:val="28"/>
          <w:szCs w:val="28"/>
        </w:rPr>
        <w:t>(приложение).</w:t>
      </w:r>
    </w:p>
    <w:p w:rsidR="003D0055" w:rsidRDefault="00F926AA" w:rsidP="003D0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055">
        <w:rPr>
          <w:sz w:val="28"/>
          <w:szCs w:val="28"/>
        </w:rPr>
        <w:t xml:space="preserve">. </w:t>
      </w:r>
      <w:r w:rsidRPr="00C84E71">
        <w:rPr>
          <w:sz w:val="28"/>
          <w:szCs w:val="28"/>
        </w:rPr>
        <w:t xml:space="preserve">Постановление вступает в силу с момента подписания </w:t>
      </w:r>
      <w:r>
        <w:rPr>
          <w:sz w:val="28"/>
          <w:szCs w:val="28"/>
        </w:rPr>
        <w:t xml:space="preserve">и </w:t>
      </w:r>
      <w:r w:rsidR="003D0055">
        <w:rPr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="003D0055" w:rsidRPr="00F926AA">
          <w:rPr>
            <w:rStyle w:val="a3"/>
            <w:sz w:val="28"/>
            <w:szCs w:val="28"/>
            <w:u w:val="none"/>
            <w:lang w:val="en-US"/>
          </w:rPr>
          <w:t>www</w:t>
        </w:r>
        <w:r w:rsidR="003D0055" w:rsidRPr="00F926AA">
          <w:rPr>
            <w:rStyle w:val="a3"/>
            <w:sz w:val="28"/>
            <w:szCs w:val="28"/>
            <w:u w:val="none"/>
          </w:rPr>
          <w:t>.</w:t>
        </w:r>
        <w:proofErr w:type="spellStart"/>
        <w:r w:rsidR="003D0055" w:rsidRPr="00F926AA">
          <w:rPr>
            <w:rStyle w:val="a3"/>
            <w:sz w:val="28"/>
            <w:szCs w:val="28"/>
            <w:u w:val="none"/>
            <w:lang w:val="en-US"/>
          </w:rPr>
          <w:t>Nikolskoecity</w:t>
        </w:r>
        <w:proofErr w:type="spellEnd"/>
        <w:r w:rsidR="003D0055" w:rsidRPr="00F926AA">
          <w:rPr>
            <w:rStyle w:val="a3"/>
            <w:sz w:val="28"/>
            <w:szCs w:val="28"/>
            <w:u w:val="none"/>
          </w:rPr>
          <w:t>.</w:t>
        </w:r>
        <w:proofErr w:type="spellStart"/>
        <w:r w:rsidR="003D0055" w:rsidRPr="00F926A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3D0055">
        <w:rPr>
          <w:rStyle w:val="a3"/>
          <w:sz w:val="28"/>
          <w:szCs w:val="28"/>
        </w:rPr>
        <w:t>.</w:t>
      </w:r>
    </w:p>
    <w:p w:rsidR="003D0055" w:rsidRDefault="00F926AA" w:rsidP="003D0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055">
        <w:rPr>
          <w:sz w:val="28"/>
          <w:szCs w:val="28"/>
        </w:rPr>
        <w:t xml:space="preserve">. </w:t>
      </w:r>
      <w:proofErr w:type="gramStart"/>
      <w:r w:rsidR="003D0055">
        <w:rPr>
          <w:sz w:val="28"/>
          <w:szCs w:val="28"/>
        </w:rPr>
        <w:t>Контроль за</w:t>
      </w:r>
      <w:proofErr w:type="gramEnd"/>
      <w:r w:rsidR="003D0055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="003D0055">
        <w:rPr>
          <w:b/>
          <w:sz w:val="28"/>
          <w:szCs w:val="28"/>
        </w:rPr>
        <w:t>ле</w:t>
      </w:r>
      <w:r w:rsidR="003D0055">
        <w:rPr>
          <w:sz w:val="28"/>
          <w:szCs w:val="28"/>
        </w:rPr>
        <w:t>ния Тосненского района Ленинградской области Смирнова А.Ю.</w:t>
      </w:r>
    </w:p>
    <w:p w:rsidR="003D0055" w:rsidRDefault="003D0055" w:rsidP="003D0055">
      <w:pPr>
        <w:jc w:val="both"/>
        <w:rPr>
          <w:sz w:val="28"/>
          <w:szCs w:val="28"/>
        </w:rPr>
      </w:pPr>
    </w:p>
    <w:p w:rsidR="003D0055" w:rsidRDefault="003D0055" w:rsidP="003D0055">
      <w:pPr>
        <w:jc w:val="both"/>
        <w:rPr>
          <w:sz w:val="28"/>
          <w:szCs w:val="28"/>
        </w:rPr>
      </w:pPr>
    </w:p>
    <w:p w:rsidR="003D0055" w:rsidRDefault="003D0055" w:rsidP="003D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</w:t>
      </w:r>
      <w:r w:rsidR="00E862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С.А.Шикалов</w:t>
      </w:r>
    </w:p>
    <w:p w:rsidR="003D0055" w:rsidRDefault="003D0055" w:rsidP="003D0055">
      <w:pPr>
        <w:jc w:val="both"/>
        <w:rPr>
          <w:sz w:val="20"/>
          <w:szCs w:val="20"/>
        </w:rPr>
      </w:pPr>
    </w:p>
    <w:p w:rsidR="003D0055" w:rsidRDefault="003D0055" w:rsidP="003D0055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3D0055" w:rsidRDefault="003D0055" w:rsidP="003D0055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3D0055" w:rsidRDefault="003D0055" w:rsidP="003D0055">
      <w:pPr>
        <w:rPr>
          <w:sz w:val="20"/>
          <w:szCs w:val="20"/>
        </w:rPr>
        <w:sectPr w:rsidR="003D0055">
          <w:pgSz w:w="11906" w:h="16838"/>
          <w:pgMar w:top="851" w:right="850" w:bottom="0" w:left="1418" w:header="708" w:footer="708" w:gutter="0"/>
          <w:cols w:space="720"/>
        </w:sectPr>
      </w:pPr>
    </w:p>
    <w:p w:rsidR="003D0055" w:rsidRDefault="003D0055" w:rsidP="00FE402A">
      <w:pPr>
        <w:ind w:left="5670" w:hanging="567"/>
      </w:pPr>
      <w:r>
        <w:lastRenderedPageBreak/>
        <w:t xml:space="preserve">Приложение </w:t>
      </w:r>
    </w:p>
    <w:p w:rsidR="003D0055" w:rsidRDefault="003D0055" w:rsidP="003D0055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3D0055" w:rsidRDefault="003D0055" w:rsidP="003D0055">
      <w:pPr>
        <w:ind w:left="5103"/>
      </w:pPr>
      <w:r>
        <w:t xml:space="preserve">Ленинградской области </w:t>
      </w:r>
    </w:p>
    <w:p w:rsidR="003D0055" w:rsidRDefault="00FE402A" w:rsidP="003D0055">
      <w:pPr>
        <w:ind w:left="5103"/>
      </w:pPr>
      <w:r>
        <w:t>от 03.10.2016  №   277/8</w:t>
      </w:r>
      <w:r w:rsidR="003D0055">
        <w:t>-па</w:t>
      </w: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/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Никольского городского поселения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Тосненского района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Ленинградской области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«Устойчивое развитие  территории </w:t>
      </w:r>
    </w:p>
    <w:p w:rsidR="003D0055" w:rsidRDefault="003D0055" w:rsidP="003D005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Никольского городского поселения Тосненского района Ленинградской области»</w:t>
      </w:r>
    </w:p>
    <w:p w:rsidR="003D0055" w:rsidRDefault="003D0055" w:rsidP="003D0055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rPr>
          <w:b/>
        </w:rPr>
        <w:sectPr w:rsidR="003D0055">
          <w:pgSz w:w="11906" w:h="16838"/>
          <w:pgMar w:top="1135" w:right="850" w:bottom="851" w:left="1418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 Никольского городского поселения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Тосненского района Ленинградской области»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1541"/>
        <w:gridCol w:w="1066"/>
        <w:gridCol w:w="1080"/>
        <w:gridCol w:w="1080"/>
        <w:gridCol w:w="900"/>
        <w:gridCol w:w="898"/>
        <w:gridCol w:w="1082"/>
      </w:tblGrid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территории Никольского городского поселения 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Тосненского района Ленинградской области ». 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проектов местных инициатив граждан».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муниципальной  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гражданской активности населения;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муниципальной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реализуется 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 (2014-2019годы)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</w:t>
            </w:r>
            <w:r>
              <w:rPr>
                <w:sz w:val="20"/>
                <w:szCs w:val="20"/>
              </w:rPr>
              <w:br/>
              <w:t xml:space="preserve">муниципальной программы,   </w:t>
            </w:r>
            <w:r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D0055" w:rsidTr="00B778A7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     </w:t>
            </w:r>
            <w:r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</w:t>
            </w:r>
            <w:r>
              <w:rPr>
                <w:sz w:val="20"/>
                <w:szCs w:val="20"/>
              </w:rPr>
              <w:br/>
              <w:t xml:space="preserve">реализации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055" w:rsidRDefault="003D0055" w:rsidP="003D0055">
      <w:pPr>
        <w:pStyle w:val="msonormalcxsplast"/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3D0055" w:rsidRDefault="003D0055" w:rsidP="003D0055">
      <w:pPr>
        <w:pStyle w:val="1"/>
        <w:widowControl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Общая характеристика, основные проблемы,  прогноз развития.</w:t>
      </w:r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bookmarkStart w:id="1" w:name="OLE_LINK1"/>
      <w:bookmarkStart w:id="2" w:name="OLE_LINK2"/>
      <w: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1"/>
      <w:bookmarkEnd w:id="2"/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r>
        <w:t>Пожарные водоемы не отвечают требованиям пожарных служб.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</w:t>
      </w:r>
      <w:proofErr w:type="gramStart"/>
      <w:r>
        <w:t>Отрадное</w:t>
      </w:r>
      <w:proofErr w:type="gramEnd"/>
      <w:r>
        <w:t xml:space="preserve">» и «Подъезд к пос. Гладкое». Характеристика улично-дорожной сети в </w:t>
      </w:r>
      <w:proofErr w:type="spellStart"/>
      <w:r>
        <w:t>п</w:t>
      </w:r>
      <w:proofErr w:type="gramStart"/>
      <w:r>
        <w:t>.Г</w:t>
      </w:r>
      <w:proofErr w:type="gramEnd"/>
      <w:r>
        <w:t>ладкое</w:t>
      </w:r>
      <w:proofErr w:type="spellEnd"/>
      <w:r>
        <w:t xml:space="preserve"> Никольского городского поселения представлена в таблице.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Таблица12.3-1. Характеристика улично-дорожной сети в </w:t>
      </w:r>
      <w:proofErr w:type="spellStart"/>
      <w:r>
        <w:t>п</w:t>
      </w:r>
      <w:proofErr w:type="gramStart"/>
      <w:r>
        <w:t>.Г</w:t>
      </w:r>
      <w:proofErr w:type="gramEnd"/>
      <w:r>
        <w:t>ладкое</w:t>
      </w:r>
      <w:proofErr w:type="spellEnd"/>
      <w:r>
        <w:t xml:space="preserve"> Никольского городского поселения.</w:t>
      </w:r>
    </w:p>
    <w:tbl>
      <w:tblPr>
        <w:tblW w:w="3939" w:type="pct"/>
        <w:jc w:val="center"/>
        <w:tblInd w:w="-6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3D0055" w:rsidTr="00B778A7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²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cxspmiddle"/>
              <w:widowControl w:val="0"/>
              <w:autoSpaceDE w:val="0"/>
              <w:autoSpaceDN w:val="0"/>
              <w:adjustRightInd w:val="0"/>
              <w:ind w:left="-10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lastRenderedPageBreak/>
        <w:t>К основным проблемам улично-дорожной сети относятся:</w:t>
      </w:r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>
        <w:t>Наличие улиц и участков улиц без асфальтового покрытия</w:t>
      </w:r>
      <w:proofErr w:type="gramStart"/>
      <w:r>
        <w:t xml:space="preserve"> .</w:t>
      </w:r>
      <w:proofErr w:type="gramEnd"/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 xml:space="preserve">Несоответствие ширины полотна большинства улиц нормативным показателям. </w:t>
      </w:r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>Ненормативное состояние покрытия.</w:t>
      </w:r>
    </w:p>
    <w:p w:rsidR="003D0055" w:rsidRDefault="003D0055" w:rsidP="003D0055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3D0055" w:rsidRPr="00612D1B" w:rsidRDefault="003D0055" w:rsidP="003D0055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</w:t>
      </w:r>
      <w:proofErr w:type="gramStart"/>
      <w:r>
        <w:t>жилое строительство</w:t>
      </w:r>
      <w:proofErr w:type="gramEnd"/>
      <w:r>
        <w:t xml:space="preserve">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958"/>
        <w:gridCol w:w="958"/>
        <w:gridCol w:w="958"/>
      </w:tblGrid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26 150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1801"/>
        <w:gridCol w:w="1260"/>
        <w:gridCol w:w="1437"/>
      </w:tblGrid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 год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</w:t>
      </w:r>
      <w:proofErr w:type="gramStart"/>
      <w:r>
        <w:t>решения</w:t>
      </w:r>
      <w:proofErr w:type="gramEnd"/>
      <w:r>
        <w:t xml:space="preserve"> и производится расчет социальных, инженерных, бытовых и жилых нагрузок.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в целях реализации задач по: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удовлетворение потребности в области благоустройства;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повышение уровня комплексного обустройства объектами социальной и инженерной инфраструктуры;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реализация общественно значимых проектов;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sectPr w:rsidR="003D0055">
          <w:pgSz w:w="11906" w:h="16838"/>
          <w:pgMar w:top="1135" w:right="850" w:bottom="851" w:left="1418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Планируемые результаты реализации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0" w:type="auto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</w:tblGrid>
      <w:tr w:rsidR="003D0055" w:rsidTr="00B778A7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 или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базового      </w:t>
            </w:r>
            <w:r>
              <w:rPr>
                <w:sz w:val="20"/>
                <w:szCs w:val="20"/>
              </w:rPr>
              <w:br/>
              <w:t xml:space="preserve">значения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D0055" w:rsidTr="00B778A7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Обоснования финансовых ресурсов, необходимых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2741"/>
        <w:gridCol w:w="1701"/>
        <w:gridCol w:w="1418"/>
        <w:gridCol w:w="1984"/>
        <w:gridCol w:w="1842"/>
      </w:tblGrid>
      <w:tr w:rsidR="003D0055" w:rsidTr="00B778A7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</w:t>
            </w:r>
            <w:r>
              <w:rPr>
                <w:sz w:val="20"/>
                <w:szCs w:val="20"/>
              </w:rPr>
              <w:br/>
              <w:t xml:space="preserve">финансовых    </w:t>
            </w:r>
            <w:r>
              <w:rPr>
                <w:sz w:val="20"/>
                <w:szCs w:val="20"/>
              </w:rPr>
              <w:br/>
              <w:t xml:space="preserve">ресурсов,     </w:t>
            </w:r>
            <w:r>
              <w:rPr>
                <w:sz w:val="20"/>
                <w:szCs w:val="20"/>
              </w:rPr>
              <w:br/>
              <w:t xml:space="preserve">необходимых   </w:t>
            </w:r>
            <w:r>
              <w:rPr>
                <w:sz w:val="20"/>
                <w:szCs w:val="20"/>
              </w:rPr>
              <w:br/>
              <w:t>для реализации</w:t>
            </w:r>
            <w:r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  <w:r>
              <w:rPr>
                <w:sz w:val="20"/>
                <w:szCs w:val="20"/>
              </w:rPr>
              <w:br/>
              <w:t xml:space="preserve">расходы,        </w:t>
            </w:r>
            <w:r>
              <w:rPr>
                <w:sz w:val="20"/>
                <w:szCs w:val="20"/>
              </w:rPr>
              <w:br/>
              <w:t xml:space="preserve">возникающие     </w:t>
            </w:r>
            <w:r>
              <w:rPr>
                <w:sz w:val="20"/>
                <w:szCs w:val="20"/>
              </w:rPr>
              <w:br/>
              <w:t xml:space="preserve">в результате    </w:t>
            </w:r>
            <w:r>
              <w:rPr>
                <w:sz w:val="20"/>
                <w:szCs w:val="20"/>
              </w:rPr>
              <w:br/>
              <w:t xml:space="preserve">реализации  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</w:tr>
      <w:tr w:rsidR="003D0055" w:rsidTr="00B778A7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970,98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647,320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3" w:name="Par408"/>
      <w:bookmarkEnd w:id="3"/>
      <w:r>
        <w:rPr>
          <w:rFonts w:cs="Calibri"/>
          <w:sz w:val="20"/>
          <w:szCs w:val="20"/>
        </w:rPr>
        <w:t>.</w:t>
      </w:r>
    </w:p>
    <w:p w:rsidR="003D0055" w:rsidRDefault="003D0055" w:rsidP="003D0055">
      <w:pPr>
        <w:rPr>
          <w:rFonts w:cs="Calibri"/>
          <w:sz w:val="20"/>
          <w:szCs w:val="20"/>
        </w:rPr>
        <w:sectPr w:rsidR="003D0055">
          <w:pgSz w:w="16838" w:h="11906" w:orient="landscape"/>
          <w:pgMar w:top="567" w:right="1135" w:bottom="850" w:left="851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 мероприятий программы (подпрограммы)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15165" w:type="dxa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559"/>
        <w:gridCol w:w="1417"/>
        <w:gridCol w:w="837"/>
        <w:gridCol w:w="900"/>
        <w:gridCol w:w="720"/>
        <w:gridCol w:w="720"/>
        <w:gridCol w:w="720"/>
        <w:gridCol w:w="900"/>
        <w:gridCol w:w="990"/>
        <w:gridCol w:w="990"/>
        <w:gridCol w:w="1260"/>
        <w:gridCol w:w="2311"/>
      </w:tblGrid>
      <w:tr w:rsidR="003D0055" w:rsidTr="00B778A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   </w:t>
            </w:r>
            <w:r>
              <w:rPr>
                <w:sz w:val="20"/>
                <w:szCs w:val="20"/>
              </w:rPr>
              <w:br/>
              <w:t xml:space="preserve">исполнения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 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в текущем     </w:t>
            </w:r>
            <w:r>
              <w:rPr>
                <w:sz w:val="20"/>
                <w:szCs w:val="20"/>
              </w:rPr>
              <w:br/>
              <w:t xml:space="preserve">финансовом    </w:t>
            </w:r>
            <w:r>
              <w:rPr>
                <w:sz w:val="20"/>
                <w:szCs w:val="20"/>
              </w:rPr>
              <w:br/>
              <w:t xml:space="preserve">году (тыс.    </w:t>
            </w:r>
            <w:r>
              <w:rPr>
                <w:sz w:val="20"/>
                <w:szCs w:val="20"/>
              </w:rPr>
              <w:br/>
              <w:t xml:space="preserve">руб.) </w:t>
            </w:r>
            <w:hyperlink r:id="rId7" w:anchor="Par546#Par546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</w:t>
            </w:r>
            <w:r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  программы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3D0055" w:rsidTr="00B778A7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D0055" w:rsidTr="00B778A7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2014-2019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А.Ю.Смирнов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  <w:r>
              <w:rPr>
                <w:sz w:val="20"/>
                <w:szCs w:val="20"/>
              </w:rPr>
              <w:t xml:space="preserve"> – асфальтовое покрытие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280 м2 (площадь)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 –</w:t>
            </w:r>
            <w:r>
              <w:rPr>
                <w:sz w:val="20"/>
                <w:szCs w:val="20"/>
              </w:rPr>
              <w:t xml:space="preserve"> асфальтовое покрытие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170 м (протяженность)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2016г.-</w:t>
            </w:r>
            <w:r>
              <w:rPr>
                <w:sz w:val="20"/>
                <w:szCs w:val="20"/>
              </w:rPr>
              <w:t xml:space="preserve"> 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дома №1) протяженность 70м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. 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(от дома №1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 протяженность 70м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6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 </w:t>
            </w:r>
            <w:r>
              <w:rPr>
                <w:sz w:val="20"/>
                <w:szCs w:val="20"/>
              </w:rPr>
              <w:br/>
              <w:t xml:space="preserve">поселения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2014-2019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Ленинградской</w:t>
            </w:r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75" w:right="-1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федерального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</w:t>
            </w:r>
            <w:r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546"/>
      <w:bookmarkEnd w:id="4"/>
      <w:r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3D0055" w:rsidRDefault="003D0055" w:rsidP="003D0055">
      <w:pPr>
        <w:sectPr w:rsidR="003D0055" w:rsidSect="00FA49E9">
          <w:pgSz w:w="16838" w:h="11906" w:orient="landscape"/>
          <w:pgMar w:top="567" w:right="1135" w:bottom="0" w:left="851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 xml:space="preserve">Методика </w:t>
      </w:r>
      <w:proofErr w:type="gramStart"/>
      <w:r>
        <w:rPr>
          <w:b/>
        </w:rPr>
        <w:t>расчета значений показателей эффективности реализации программы</w:t>
      </w:r>
      <w:proofErr w:type="gramEnd"/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</w:pPr>
      <w: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МЕТОДИКА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ОЦЕНКИ ЭФФЕКТИВНОСТИ РЕАЛИЗАЦИИ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 xml:space="preserve">Под результативностью понимается степень </w:t>
      </w:r>
      <w:proofErr w:type="gramStart"/>
      <w:r>
        <w:t>достижения запланированного уровня нефинансовых результатов реализации подпрограмм</w:t>
      </w:r>
      <w:proofErr w:type="gramEnd"/>
      <w:r>
        <w:t>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результативности подпрограмм определяется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увеличение целевых значений;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снижение целевых значений;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достигнутый результат целевого значения показателя;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результат целевого значения показателя;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N - общее число показателей, характеризующих выполнение подпрограммы.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подпрограмм определяется по индексу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эффективности подпрограмм определяется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эффективности подпрограмм;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фактического совокупного финансирования подпрограммы;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запланированного совокупного финансирования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наименование индикатора - индекс эффективности подпрограмм </w:t>
      </w:r>
      <w:r>
        <w:rPr>
          <w:noProof/>
          <w:position w:val="-10"/>
        </w:rPr>
        <w:drawing>
          <wp:inline distT="0" distB="0" distL="0" distR="0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диапазоны значений, характеризующие эффективность подпрограмм, перечислены ниже.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подпрограмм: высокий уровень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запланированный уровень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</w:pPr>
      <w:r>
        <w:t>Качественная оценка подпрограммы: низкий уровень эффективности.</w:t>
      </w:r>
    </w:p>
    <w:p w:rsidR="00FA49E9" w:rsidRDefault="00FA49E9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FA49E9" w:rsidRDefault="00FA49E9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</w:t>
      </w:r>
      <w:proofErr w:type="gramEnd"/>
      <w:r>
        <w:t xml:space="preserve"> «Об основных направлениях совершенствования системы государственного управления».</w:t>
      </w:r>
    </w:p>
    <w:p w:rsidR="003D0055" w:rsidRDefault="003D0055" w:rsidP="003D0055"/>
    <w:p w:rsidR="00D36F45" w:rsidRDefault="00D36F45"/>
    <w:sectPr w:rsidR="00D3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D"/>
    <w:rsid w:val="003D0055"/>
    <w:rsid w:val="003E3E78"/>
    <w:rsid w:val="00BA439D"/>
    <w:rsid w:val="00D36F45"/>
    <w:rsid w:val="00E862F5"/>
    <w:rsid w:val="00F926AA"/>
    <w:rsid w:val="00FA49E9"/>
    <w:rsid w:val="00FE402A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/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2016-11-16T11:53:00Z</dcterms:created>
  <dcterms:modified xsi:type="dcterms:W3CDTF">2016-11-17T06:39:00Z</dcterms:modified>
</cp:coreProperties>
</file>